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A8" w:rsidRDefault="000E69A8" w:rsidP="000E69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 O PISANOJ PROVJERI ZNANJA KANDIDATA ZA RADNO MJESTO:</w:t>
      </w:r>
    </w:p>
    <w:p w:rsidR="000E69A8" w:rsidRDefault="000E69A8" w:rsidP="000E69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STRUČNI SURADNIK / SURADNICA PEDAGOG</w:t>
      </w:r>
    </w:p>
    <w:p w:rsidR="000E69A8" w:rsidRDefault="000E69A8" w:rsidP="000E69A8">
      <w:pPr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rFonts w:cs="Times New Roman"/>
          <w:b/>
          <w:sz w:val="24"/>
          <w:szCs w:val="24"/>
        </w:rPr>
        <w:t>o prijavama na oglas objavljen 03. veljače 2021. godine na mrežnoj stranici Škole i Hrvatskog zavoda za zapošljavanje.</w:t>
      </w:r>
    </w:p>
    <w:p w:rsidR="000E69A8" w:rsidRDefault="000E69A8" w:rsidP="000E69A8">
      <w:pPr>
        <w:jc w:val="center"/>
        <w:rPr>
          <w:rFonts w:cs="Times New Roman"/>
          <w:b/>
          <w:sz w:val="24"/>
          <w:szCs w:val="24"/>
        </w:rPr>
      </w:pPr>
    </w:p>
    <w:p w:rsidR="000E69A8" w:rsidRPr="000E69A8" w:rsidRDefault="000E69A8" w:rsidP="000E69A8">
      <w:pPr>
        <w:rPr>
          <w:b/>
          <w:sz w:val="24"/>
          <w:szCs w:val="24"/>
        </w:rPr>
      </w:pPr>
      <w:r w:rsidRPr="008D4B5C">
        <w:rPr>
          <w:sz w:val="24"/>
          <w:szCs w:val="24"/>
          <w:u w:val="single"/>
        </w:rPr>
        <w:t>Termin pisane provjere znanja</w:t>
      </w:r>
      <w:r>
        <w:rPr>
          <w:sz w:val="24"/>
          <w:szCs w:val="24"/>
        </w:rPr>
        <w:t xml:space="preserve">:  </w:t>
      </w:r>
      <w:r w:rsidRPr="000E69A8">
        <w:rPr>
          <w:b/>
          <w:sz w:val="24"/>
          <w:szCs w:val="24"/>
        </w:rPr>
        <w:t>24. veljače 2021. (srijeda) u 09:00 sati, u Glazbenoj školi Josipa Hatzea, Trg Hrvatske bratske zajednice 3, Split.</w:t>
      </w:r>
    </w:p>
    <w:p w:rsidR="000E69A8" w:rsidRDefault="000E69A8" w:rsidP="000E69A8">
      <w:pPr>
        <w:rPr>
          <w:sz w:val="24"/>
          <w:szCs w:val="24"/>
        </w:rPr>
      </w:pPr>
      <w:r>
        <w:rPr>
          <w:sz w:val="24"/>
          <w:szCs w:val="24"/>
        </w:rPr>
        <w:t>Predviđeno trajanje pisane provjere znanja je 60 minuta.</w:t>
      </w:r>
    </w:p>
    <w:p w:rsidR="000E69A8" w:rsidRDefault="000E69A8" w:rsidP="000E69A8">
      <w:pPr>
        <w:jc w:val="both"/>
        <w:rPr>
          <w:sz w:val="24"/>
          <w:szCs w:val="24"/>
        </w:rPr>
      </w:pPr>
      <w:r w:rsidRPr="008D4B5C">
        <w:rPr>
          <w:sz w:val="24"/>
          <w:szCs w:val="24"/>
          <w:u w:val="single"/>
        </w:rPr>
        <w:t>Dolazak u Školu uz poštovanje epidemioloških mjera</w:t>
      </w:r>
      <w:r>
        <w:rPr>
          <w:sz w:val="24"/>
          <w:szCs w:val="24"/>
        </w:rPr>
        <w:t>, što uključuje: obvezno nošenje maske, prethodno izmjerenu temperaturu, dezinfekciju ruku na ulasku u zgradu. Naša je preporuka da dođete 10-ak minuta ranije. Sa sobom ponesite osobnu iskaznicu i pribor za pisanje. Za vrijeme trajanja provjere znanja, korištenje mobitela nije dopušteno.</w:t>
      </w:r>
    </w:p>
    <w:p w:rsidR="000E69A8" w:rsidRDefault="000E69A8" w:rsidP="000E69A8">
      <w:pPr>
        <w:rPr>
          <w:sz w:val="24"/>
          <w:szCs w:val="24"/>
        </w:rPr>
      </w:pPr>
      <w:r>
        <w:rPr>
          <w:sz w:val="24"/>
          <w:szCs w:val="24"/>
        </w:rPr>
        <w:t>Razgovor s kandidatima organizirat će se, po potrebi, naknadno.</w:t>
      </w:r>
    </w:p>
    <w:p w:rsidR="000E69A8" w:rsidRPr="002835CE" w:rsidRDefault="000E69A8" w:rsidP="000E69A8">
      <w:pPr>
        <w:rPr>
          <w:sz w:val="24"/>
          <w:szCs w:val="24"/>
        </w:rPr>
      </w:pPr>
      <w:r>
        <w:rPr>
          <w:sz w:val="24"/>
          <w:szCs w:val="24"/>
        </w:rPr>
        <w:t>Popis literature:</w:t>
      </w:r>
    </w:p>
    <w:p w:rsidR="000E69A8" w:rsidRDefault="000E69A8" w:rsidP="000E69A8"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2835CE">
        <w:rPr>
          <w:rStyle w:val="Emphasis"/>
          <w:rFonts w:cs="Times New Roman"/>
          <w:bCs/>
          <w:i w:val="0"/>
          <w:sz w:val="24"/>
          <w:szCs w:val="24"/>
          <w:shd w:val="clear" w:color="auto" w:fill="FFFFFF"/>
        </w:rPr>
        <w:t>Zakon o odgoju i obrazovanju</w:t>
      </w:r>
      <w:r w:rsidRPr="002835CE">
        <w:rPr>
          <w:rFonts w:cs="Times New Roman"/>
          <w:i/>
          <w:sz w:val="24"/>
          <w:szCs w:val="24"/>
          <w:shd w:val="clear" w:color="auto" w:fill="FFFFFF"/>
        </w:rPr>
        <w:t> </w:t>
      </w:r>
      <w:r w:rsidRPr="002835CE">
        <w:rPr>
          <w:rFonts w:cs="Times New Roman"/>
          <w:sz w:val="24"/>
          <w:szCs w:val="24"/>
          <w:shd w:val="clear" w:color="auto" w:fill="FFFFFF"/>
        </w:rPr>
        <w:t>u osnovnoj i srednjoj školi</w:t>
      </w:r>
      <w:r w:rsidRPr="002835CE">
        <w:rPr>
          <w:rFonts w:cs="Times New Roman"/>
          <w:color w:val="4D5156"/>
          <w:sz w:val="24"/>
          <w:szCs w:val="24"/>
          <w:shd w:val="clear" w:color="auto" w:fill="FFFFFF"/>
        </w:rPr>
        <w:t> </w:t>
      </w:r>
      <w:r w:rsidRPr="002835CE">
        <w:rPr>
          <w:rFonts w:eastAsia="Open Sans" w:cs="Times New Roman"/>
          <w:color w:val="000000"/>
          <w:sz w:val="24"/>
          <w:szCs w:val="24"/>
        </w:rPr>
        <w:t xml:space="preserve">- </w:t>
      </w:r>
      <w:r w:rsidRPr="002835CE">
        <w:rPr>
          <w:rFonts w:cs="Times New Roman"/>
          <w:color w:val="414145"/>
          <w:sz w:val="24"/>
          <w:szCs w:val="24"/>
        </w:rPr>
        <w:t>pročišćeni tekst zakona</w:t>
      </w:r>
      <w:r>
        <w:rPr>
          <w:rFonts w:cs="Times New Roman"/>
          <w:color w:val="414145"/>
          <w:sz w:val="24"/>
          <w:szCs w:val="24"/>
        </w:rPr>
        <w:t xml:space="preserve"> </w:t>
      </w:r>
      <w:r w:rsidRPr="002835CE">
        <w:rPr>
          <w:rFonts w:cs="Times New Roman"/>
          <w:sz w:val="24"/>
          <w:szCs w:val="24"/>
        </w:rPr>
        <w:t>(NN</w:t>
      </w:r>
      <w:r>
        <w:rPr>
          <w:rFonts w:cs="Times New Roman"/>
          <w:sz w:val="24"/>
          <w:szCs w:val="24"/>
        </w:rPr>
        <w:t xml:space="preserve"> </w:t>
      </w:r>
      <w:hyperlink r:id="rId5" w:history="1">
        <w:r w:rsidRPr="002835CE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87/08</w:t>
        </w:r>
      </w:hyperlink>
      <w:r w:rsidRPr="002835CE">
        <w:rPr>
          <w:rFonts w:cs="Times New Roman"/>
          <w:sz w:val="24"/>
          <w:szCs w:val="24"/>
        </w:rPr>
        <w:t>, </w:t>
      </w:r>
      <w:hyperlink r:id="rId6" w:history="1">
        <w:r w:rsidRPr="002835CE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86/09</w:t>
        </w:r>
      </w:hyperlink>
      <w:r w:rsidRPr="002835CE">
        <w:rPr>
          <w:rFonts w:cs="Times New Roman"/>
          <w:sz w:val="24"/>
          <w:szCs w:val="24"/>
        </w:rPr>
        <w:t>, </w:t>
      </w:r>
      <w:hyperlink r:id="rId7" w:history="1">
        <w:r w:rsidRPr="002835CE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92/10</w:t>
        </w:r>
      </w:hyperlink>
      <w:r w:rsidRPr="002835CE">
        <w:rPr>
          <w:rFonts w:cs="Times New Roman"/>
          <w:sz w:val="24"/>
          <w:szCs w:val="24"/>
        </w:rPr>
        <w:t>, </w:t>
      </w:r>
      <w:hyperlink r:id="rId8" w:history="1">
        <w:r w:rsidRPr="002835CE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105/10</w:t>
        </w:r>
      </w:hyperlink>
      <w:r w:rsidRPr="002835CE">
        <w:rPr>
          <w:rFonts w:cs="Times New Roman"/>
          <w:sz w:val="24"/>
          <w:szCs w:val="24"/>
        </w:rPr>
        <w:t>, </w:t>
      </w:r>
      <w:hyperlink r:id="rId9" w:history="1">
        <w:r w:rsidRPr="002835CE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90/11</w:t>
        </w:r>
      </w:hyperlink>
      <w:r w:rsidRPr="002835CE">
        <w:rPr>
          <w:rFonts w:cs="Times New Roman"/>
          <w:sz w:val="24"/>
          <w:szCs w:val="24"/>
        </w:rPr>
        <w:t>, </w:t>
      </w:r>
      <w:hyperlink r:id="rId10" w:history="1">
        <w:r w:rsidRPr="002835CE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5/12</w:t>
        </w:r>
      </w:hyperlink>
      <w:r w:rsidRPr="002835CE">
        <w:rPr>
          <w:rFonts w:cs="Times New Roman"/>
          <w:sz w:val="24"/>
          <w:szCs w:val="24"/>
        </w:rPr>
        <w:t>, </w:t>
      </w:r>
      <w:hyperlink r:id="rId11" w:history="1">
        <w:r w:rsidRPr="002835CE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16/12</w:t>
        </w:r>
      </w:hyperlink>
      <w:r w:rsidRPr="002835CE">
        <w:rPr>
          <w:rFonts w:cs="Times New Roman"/>
          <w:sz w:val="24"/>
          <w:szCs w:val="24"/>
        </w:rPr>
        <w:t>, </w:t>
      </w:r>
      <w:hyperlink r:id="rId12" w:history="1">
        <w:r w:rsidRPr="002835CE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86/12</w:t>
        </w:r>
      </w:hyperlink>
      <w:r w:rsidRPr="002835CE">
        <w:rPr>
          <w:rFonts w:cs="Times New Roman"/>
          <w:sz w:val="24"/>
          <w:szCs w:val="24"/>
        </w:rPr>
        <w:t>, </w:t>
      </w:r>
      <w:hyperlink r:id="rId13" w:history="1">
        <w:r w:rsidRPr="002835CE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126/12</w:t>
        </w:r>
      </w:hyperlink>
      <w:r w:rsidRPr="002835CE">
        <w:rPr>
          <w:rFonts w:cs="Times New Roman"/>
          <w:sz w:val="24"/>
          <w:szCs w:val="24"/>
        </w:rPr>
        <w:t>, </w:t>
      </w:r>
      <w:hyperlink r:id="rId14" w:history="1">
        <w:r w:rsidRPr="002835CE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94/13</w:t>
        </w:r>
      </w:hyperlink>
      <w:r w:rsidRPr="002835CE">
        <w:rPr>
          <w:rFonts w:cs="Times New Roman"/>
          <w:sz w:val="24"/>
          <w:szCs w:val="24"/>
        </w:rPr>
        <w:t>, </w:t>
      </w:r>
      <w:hyperlink r:id="rId15" w:history="1">
        <w:r w:rsidRPr="002835CE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152/14</w:t>
        </w:r>
      </w:hyperlink>
      <w:r w:rsidRPr="002835CE">
        <w:rPr>
          <w:rFonts w:cs="Times New Roman"/>
          <w:sz w:val="24"/>
          <w:szCs w:val="24"/>
        </w:rPr>
        <w:t>, </w:t>
      </w:r>
      <w:hyperlink r:id="rId16" w:history="1">
        <w:r w:rsidRPr="002835CE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07/17</w:t>
        </w:r>
      </w:hyperlink>
      <w:r w:rsidRPr="002835CE">
        <w:rPr>
          <w:rFonts w:cs="Times New Roman"/>
          <w:sz w:val="24"/>
          <w:szCs w:val="24"/>
        </w:rPr>
        <w:t>, </w:t>
      </w:r>
      <w:hyperlink r:id="rId17" w:tgtFrame="_blank" w:history="1">
        <w:r w:rsidRPr="002835CE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68/18</w:t>
        </w:r>
      </w:hyperlink>
      <w:r w:rsidRPr="002835CE">
        <w:rPr>
          <w:rFonts w:cs="Times New Roman"/>
          <w:sz w:val="24"/>
          <w:szCs w:val="24"/>
        </w:rPr>
        <w:t>, </w:t>
      </w:r>
      <w:hyperlink r:id="rId18" w:tgtFrame="_blank" w:history="1">
        <w:r w:rsidRPr="002835CE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98/19</w:t>
        </w:r>
      </w:hyperlink>
      <w:r w:rsidRPr="002835CE">
        <w:rPr>
          <w:rFonts w:cs="Times New Roman"/>
          <w:sz w:val="24"/>
          <w:szCs w:val="24"/>
        </w:rPr>
        <w:t>, </w:t>
      </w:r>
      <w:hyperlink r:id="rId19" w:history="1">
        <w:r w:rsidRPr="002835CE">
          <w:rPr>
            <w:rStyle w:val="Hyperlink"/>
            <w:rFonts w:cs="Times New Roman"/>
            <w:bCs/>
            <w:color w:val="auto"/>
            <w:sz w:val="24"/>
            <w:szCs w:val="24"/>
            <w:u w:val="none"/>
          </w:rPr>
          <w:t>64/20</w:t>
        </w:r>
      </w:hyperlink>
      <w:r>
        <w:rPr>
          <w:rStyle w:val="Hyperlink"/>
          <w:rFonts w:cs="Times New Roman"/>
          <w:bCs/>
          <w:color w:val="auto"/>
          <w:sz w:val="24"/>
          <w:szCs w:val="24"/>
          <w:u w:val="none"/>
        </w:rPr>
        <w:t>),</w:t>
      </w:r>
      <w:r w:rsidRPr="002835CE">
        <w:rPr>
          <w:rFonts w:cs="Times New Roman"/>
          <w:sz w:val="24"/>
          <w:szCs w:val="24"/>
        </w:rPr>
        <w:t xml:space="preserve"> na snazi od 01.01.2020.</w:t>
      </w:r>
    </w:p>
    <w:p w:rsidR="000E69A8" w:rsidRPr="002835CE" w:rsidRDefault="000E69A8" w:rsidP="000E69A8">
      <w:pPr>
        <w:pStyle w:val="NoSpacing"/>
        <w:ind w:left="720"/>
        <w:jc w:val="both"/>
        <w:rPr>
          <w:rFonts w:cs="Times New Roman"/>
          <w:sz w:val="24"/>
          <w:szCs w:val="24"/>
        </w:rPr>
      </w:pPr>
    </w:p>
    <w:p w:rsidR="000E69A8" w:rsidRDefault="000E69A8" w:rsidP="000E69A8">
      <w:pPr>
        <w:pStyle w:val="NoSpacing"/>
        <w:numPr>
          <w:ilvl w:val="0"/>
          <w:numId w:val="1"/>
        </w:numPr>
        <w:jc w:val="both"/>
        <w:rPr>
          <w:rStyle w:val="Hyperlink"/>
          <w:rFonts w:eastAsia="Open Sans" w:cs="Times New Roman"/>
          <w:sz w:val="24"/>
          <w:szCs w:val="24"/>
        </w:rPr>
      </w:pPr>
      <w:r>
        <w:rPr>
          <w:rFonts w:cs="Times New Roman"/>
          <w:color w:val="414145"/>
          <w:sz w:val="24"/>
          <w:szCs w:val="24"/>
        </w:rPr>
        <w:t xml:space="preserve"> </w:t>
      </w:r>
      <w:hyperlink r:id="rId20" w:history="1">
        <w:r w:rsidRPr="002835CE">
          <w:rPr>
            <w:rStyle w:val="Hyperlink"/>
            <w:rFonts w:eastAsia="Open Sans" w:cs="Times New Roman"/>
            <w:sz w:val="24"/>
            <w:szCs w:val="24"/>
          </w:rPr>
          <w:t>https://www.zakon.hr/z/317/Zakon-o-odgoju-i-obrazovanju-u-osnovnoj-i-srednjoj-%C5%A1koli</w:t>
        </w:r>
      </w:hyperlink>
    </w:p>
    <w:p w:rsidR="000E69A8" w:rsidRDefault="000E69A8" w:rsidP="000E69A8">
      <w:pPr>
        <w:pStyle w:val="NoSpacing"/>
        <w:jc w:val="both"/>
        <w:rPr>
          <w:rStyle w:val="Hyperlink"/>
          <w:rFonts w:eastAsia="Open Sans" w:cs="Times New Roman"/>
          <w:sz w:val="24"/>
          <w:szCs w:val="24"/>
        </w:rPr>
      </w:pPr>
    </w:p>
    <w:p w:rsidR="000E69A8" w:rsidRPr="00333C6E" w:rsidRDefault="000E69A8" w:rsidP="000E69A8">
      <w:pPr>
        <w:pStyle w:val="NoSpacing"/>
        <w:numPr>
          <w:ilvl w:val="0"/>
          <w:numId w:val="1"/>
        </w:numPr>
        <w:jc w:val="both"/>
        <w:rPr>
          <w:rFonts w:eastAsia="Open Sans" w:cs="Times New Roman"/>
          <w:color w:val="000000"/>
          <w:sz w:val="24"/>
          <w:szCs w:val="24"/>
        </w:rPr>
      </w:pPr>
      <w:r w:rsidRPr="002835CE">
        <w:rPr>
          <w:rFonts w:eastAsia="Open Sans" w:cs="Times New Roman"/>
          <w:color w:val="000000"/>
          <w:sz w:val="24"/>
          <w:szCs w:val="24"/>
        </w:rPr>
        <w:t>Pravilnik o tjednim obvezama odgojno-obrazovnoga rada u umjetničkoj školi</w:t>
      </w:r>
      <w:r w:rsidRPr="00333C6E">
        <w:rPr>
          <w:rFonts w:eastAsia="Open Sans" w:cs="Times New Roman"/>
          <w:color w:val="000000"/>
          <w:sz w:val="24"/>
          <w:szCs w:val="24"/>
        </w:rPr>
        <w:t xml:space="preserve"> </w:t>
      </w:r>
    </w:p>
    <w:p w:rsidR="000E69A8" w:rsidRPr="000E69A8" w:rsidRDefault="004777AA" w:rsidP="000E69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Open Sans" w:eastAsia="Open Sans" w:hAnsi="Open Sans" w:cs="Open Sans"/>
          <w:color w:val="000000"/>
          <w:highlight w:val="white"/>
        </w:rPr>
      </w:pPr>
      <w:hyperlink r:id="rId21" w:history="1">
        <w:r w:rsidR="000E69A8" w:rsidRPr="00333C6E">
          <w:rPr>
            <w:rStyle w:val="Hyperlink"/>
            <w:rFonts w:ascii="Open Sans" w:hAnsi="Open Sans"/>
          </w:rPr>
          <w:t>http://www.gsjh.hr/wp-content/uploads/2017/12/Pravilnik_o_tjednim_obvezema_odgojno-obrazovnog_rada_u_umjetnickim_skolama.pdf</w:t>
        </w:r>
      </w:hyperlink>
    </w:p>
    <w:p w:rsidR="000E69A8" w:rsidRPr="000E69A8" w:rsidRDefault="000E69A8" w:rsidP="000E69A8">
      <w:pPr>
        <w:pStyle w:val="NoSpacing"/>
        <w:numPr>
          <w:ilvl w:val="0"/>
          <w:numId w:val="1"/>
        </w:numPr>
        <w:jc w:val="both"/>
        <w:rPr>
          <w:rStyle w:val="Hyperlink"/>
          <w:rFonts w:eastAsia="Open Sans" w:cs="Times New Roman"/>
          <w:color w:val="0070C0"/>
          <w:sz w:val="24"/>
          <w:szCs w:val="24"/>
          <w:highlight w:val="white"/>
        </w:rPr>
      </w:pPr>
      <w:r w:rsidRPr="002835CE">
        <w:rPr>
          <w:rFonts w:eastAsia="Open Sans" w:cs="Times New Roman"/>
          <w:color w:val="000000"/>
          <w:sz w:val="24"/>
          <w:szCs w:val="24"/>
        </w:rPr>
        <w:t xml:space="preserve">Pravilnik o pedagoškoj dokumentaciji i evidenciji te javnim ispravama u školskim ustanovama (Urednički pročišćeni tekst, „Narodne novine“, broj 47/17, 41/19 i 76/19)  </w:t>
      </w:r>
      <w:hyperlink r:id="rId22" w:history="1">
        <w:r w:rsidRPr="000B2905">
          <w:rPr>
            <w:rStyle w:val="Hyperlink"/>
            <w:rFonts w:eastAsia="Open Sans" w:cs="Times New Roman"/>
            <w:sz w:val="24"/>
            <w:szCs w:val="24"/>
            <w:highlight w:val="white"/>
          </w:rPr>
          <w:t>http://www.propisi.hr/print.php?id=7243</w:t>
        </w:r>
      </w:hyperlink>
    </w:p>
    <w:p w:rsidR="000E69A8" w:rsidRPr="000E69A8" w:rsidRDefault="000E69A8" w:rsidP="000E69A8">
      <w:pPr>
        <w:pStyle w:val="NoSpacing"/>
        <w:ind w:left="720"/>
        <w:jc w:val="both"/>
        <w:rPr>
          <w:rFonts w:eastAsia="Open Sans" w:cs="Times New Roman"/>
          <w:color w:val="0070C0"/>
          <w:sz w:val="24"/>
          <w:szCs w:val="24"/>
          <w:highlight w:val="white"/>
          <w:u w:val="single"/>
        </w:rPr>
      </w:pPr>
    </w:p>
    <w:p w:rsidR="000E69A8" w:rsidRDefault="000E69A8" w:rsidP="000E69A8">
      <w:pPr>
        <w:pStyle w:val="NoSpacing"/>
        <w:numPr>
          <w:ilvl w:val="0"/>
          <w:numId w:val="1"/>
        </w:numPr>
        <w:jc w:val="both"/>
        <w:rPr>
          <w:rFonts w:eastAsia="Open Sans" w:cs="Times New Roman"/>
          <w:color w:val="000000"/>
          <w:sz w:val="24"/>
          <w:szCs w:val="24"/>
          <w:highlight w:val="white"/>
        </w:rPr>
      </w:pPr>
      <w:r w:rsidRPr="002835CE">
        <w:rPr>
          <w:rFonts w:eastAsia="Open Sans" w:cs="Times New Roman"/>
          <w:color w:val="000000"/>
          <w:sz w:val="24"/>
          <w:szCs w:val="24"/>
          <w:highlight w:val="white"/>
        </w:rPr>
        <w:t>Pravilnik o polaganju stručnog ispita učitelja i stručnih suradnika u osnovnom školstvu i nastavnika u srednjem školstvu</w:t>
      </w:r>
    </w:p>
    <w:p w:rsidR="000E69A8" w:rsidRPr="000E69A8" w:rsidRDefault="000E69A8" w:rsidP="000E69A8">
      <w:pPr>
        <w:pStyle w:val="NoSpacing"/>
        <w:jc w:val="both"/>
        <w:rPr>
          <w:rFonts w:eastAsia="Open Sans" w:cs="Times New Roman"/>
          <w:color w:val="000000"/>
          <w:sz w:val="24"/>
          <w:szCs w:val="24"/>
          <w:highlight w:val="white"/>
        </w:rPr>
      </w:pPr>
    </w:p>
    <w:p w:rsidR="000E69A8" w:rsidRPr="000E69A8" w:rsidRDefault="000E69A8" w:rsidP="000E69A8">
      <w:pPr>
        <w:pStyle w:val="NoSpacing"/>
        <w:numPr>
          <w:ilvl w:val="0"/>
          <w:numId w:val="1"/>
        </w:numPr>
        <w:jc w:val="both"/>
        <w:rPr>
          <w:rStyle w:val="Hyperlink"/>
          <w:rFonts w:eastAsia="Open Sans" w:cs="Times New Roman"/>
          <w:color w:val="000000"/>
          <w:sz w:val="24"/>
          <w:szCs w:val="24"/>
          <w:highlight w:val="white"/>
          <w:u w:val="none"/>
        </w:rPr>
      </w:pPr>
      <w:r w:rsidRPr="002835CE">
        <w:rPr>
          <w:rFonts w:eastAsia="Open Sans" w:cs="Times New Roman"/>
          <w:color w:val="000000"/>
          <w:sz w:val="24"/>
          <w:szCs w:val="24"/>
          <w:highlight w:val="white"/>
        </w:rPr>
        <w:t xml:space="preserve">MZO </w:t>
      </w:r>
      <w:r w:rsidRPr="002835CE">
        <w:rPr>
          <w:rFonts w:eastAsia="Open Sans" w:cs="Times New Roman"/>
          <w:color w:val="191919"/>
          <w:sz w:val="24"/>
          <w:szCs w:val="24"/>
          <w:highlight w:val="white"/>
        </w:rPr>
        <w:t xml:space="preserve">ŠeR - Školski e-Rudnik </w:t>
      </w:r>
      <w:hyperlink r:id="rId23" w:history="1">
        <w:r w:rsidRPr="002835CE">
          <w:rPr>
            <w:rStyle w:val="Hyperlink"/>
            <w:rFonts w:eastAsia="Open Sans" w:cs="Times New Roman"/>
            <w:color w:val="1155CC"/>
            <w:sz w:val="24"/>
            <w:szCs w:val="24"/>
            <w:highlight w:val="white"/>
          </w:rPr>
          <w:t>https://mzo.gov.hr/istaknute-teme/ser-skolski-e-rudnik-3419/3419</w:t>
        </w:r>
      </w:hyperlink>
    </w:p>
    <w:p w:rsidR="000E69A8" w:rsidRPr="000E69A8" w:rsidRDefault="000E69A8" w:rsidP="000E69A8">
      <w:pPr>
        <w:pStyle w:val="NoSpacing"/>
        <w:jc w:val="both"/>
        <w:rPr>
          <w:rFonts w:eastAsia="Open Sans" w:cs="Times New Roman"/>
          <w:color w:val="000000"/>
          <w:sz w:val="24"/>
          <w:szCs w:val="24"/>
          <w:highlight w:val="white"/>
        </w:rPr>
      </w:pPr>
    </w:p>
    <w:p w:rsidR="000E69A8" w:rsidRDefault="000E69A8" w:rsidP="000E69A8">
      <w:pPr>
        <w:pStyle w:val="NoSpacing"/>
        <w:numPr>
          <w:ilvl w:val="0"/>
          <w:numId w:val="1"/>
        </w:numPr>
        <w:jc w:val="both"/>
        <w:rPr>
          <w:rFonts w:eastAsia="Open Sans" w:cs="Times New Roman"/>
          <w:color w:val="000000"/>
          <w:sz w:val="24"/>
          <w:szCs w:val="24"/>
          <w:highlight w:val="white"/>
        </w:rPr>
      </w:pPr>
      <w:r w:rsidRPr="002835CE">
        <w:rPr>
          <w:rFonts w:eastAsia="Open Sans" w:cs="Times New Roman"/>
          <w:color w:val="000000"/>
          <w:sz w:val="24"/>
          <w:szCs w:val="24"/>
          <w:highlight w:val="white"/>
        </w:rPr>
        <w:t xml:space="preserve">Pravilnik o načinima, postupcima i elementima vrednovanja učenika u osnovnoj i srednjoj školi (Urednički pročišćeni tekst, “Narodne novine”, broj 112/10, 82/19 i 43/20) </w:t>
      </w:r>
      <w:hyperlink r:id="rId24" w:history="1">
        <w:r w:rsidRPr="00C672FA">
          <w:rPr>
            <w:rStyle w:val="Hyperlink"/>
            <w:rFonts w:eastAsia="Open Sans" w:cs="Times New Roman"/>
            <w:sz w:val="24"/>
            <w:szCs w:val="24"/>
            <w:highlight w:val="white"/>
          </w:rPr>
          <w:t>http://www.propisi.hr/print.php?id=10606</w:t>
        </w:r>
      </w:hyperlink>
    </w:p>
    <w:p w:rsidR="000E69A8" w:rsidRPr="000E69A8" w:rsidRDefault="000E69A8" w:rsidP="000E69A8">
      <w:pPr>
        <w:pStyle w:val="NoSpacing"/>
        <w:jc w:val="both"/>
        <w:rPr>
          <w:rFonts w:eastAsia="Open Sans" w:cs="Times New Roman"/>
          <w:color w:val="000000"/>
          <w:sz w:val="24"/>
          <w:szCs w:val="24"/>
          <w:highlight w:val="white"/>
        </w:rPr>
      </w:pPr>
    </w:p>
    <w:p w:rsidR="000E69A8" w:rsidRPr="000E69A8" w:rsidRDefault="000E69A8" w:rsidP="000E69A8">
      <w:pPr>
        <w:pStyle w:val="NoSpacing"/>
        <w:numPr>
          <w:ilvl w:val="0"/>
          <w:numId w:val="1"/>
        </w:numPr>
        <w:jc w:val="both"/>
        <w:rPr>
          <w:rFonts w:eastAsia="Open Sans" w:cs="Times New Roman"/>
          <w:color w:val="000000"/>
          <w:sz w:val="24"/>
          <w:szCs w:val="24"/>
          <w:highlight w:val="white"/>
        </w:rPr>
      </w:pPr>
      <w:r w:rsidRPr="002835CE">
        <w:rPr>
          <w:rFonts w:eastAsia="Open Sans" w:cs="Times New Roman"/>
          <w:color w:val="000000"/>
          <w:sz w:val="24"/>
          <w:szCs w:val="24"/>
          <w:highlight w:val="white"/>
        </w:rPr>
        <w:t xml:space="preserve">Minimalni standardi prevencije ovisnosti za djecu i mlade u odgojno-obrazovnom sustavu (izradila Stručna radna skupina imenovana pri Agenciji za odgoj i obrazovanje) </w:t>
      </w:r>
    </w:p>
    <w:p w:rsidR="000E69A8" w:rsidRPr="000E69A8" w:rsidRDefault="000E69A8" w:rsidP="000E69A8">
      <w:pPr>
        <w:pStyle w:val="NoSpacing"/>
        <w:numPr>
          <w:ilvl w:val="0"/>
          <w:numId w:val="1"/>
        </w:numPr>
        <w:jc w:val="both"/>
        <w:rPr>
          <w:rFonts w:cs="Times New Roman"/>
          <w:color w:val="000000"/>
          <w:sz w:val="24"/>
          <w:szCs w:val="24"/>
          <w:highlight w:val="white"/>
        </w:rPr>
      </w:pPr>
      <w:r w:rsidRPr="002835CE">
        <w:rPr>
          <w:rFonts w:cs="Times New Roman"/>
          <w:sz w:val="24"/>
          <w:szCs w:val="24"/>
          <w:highlight w:val="white"/>
        </w:rPr>
        <w:lastRenderedPageBreak/>
        <w:t>Odluka o donošenju kurikuluma za međupredmetnu temu Osobni i socijalni razvoj za osnovne i srednje škole u Republici Hrvatskoj</w:t>
      </w:r>
    </w:p>
    <w:p w:rsidR="000E69A8" w:rsidRPr="002835CE" w:rsidRDefault="000E69A8" w:rsidP="000E69A8">
      <w:pPr>
        <w:pStyle w:val="NoSpacing"/>
        <w:ind w:left="360"/>
        <w:jc w:val="both"/>
        <w:rPr>
          <w:rFonts w:cs="Times New Roman"/>
          <w:color w:val="000000"/>
          <w:sz w:val="24"/>
          <w:szCs w:val="24"/>
          <w:highlight w:val="white"/>
        </w:rPr>
      </w:pPr>
    </w:p>
    <w:p w:rsidR="000E69A8" w:rsidRDefault="004777AA" w:rsidP="000E69A8">
      <w:pPr>
        <w:pStyle w:val="NoSpacing"/>
        <w:numPr>
          <w:ilvl w:val="0"/>
          <w:numId w:val="1"/>
        </w:numPr>
        <w:jc w:val="both"/>
        <w:rPr>
          <w:rFonts w:eastAsia="Open Sans" w:cs="Times New Roman"/>
          <w:color w:val="4472C4" w:themeColor="accent5"/>
          <w:sz w:val="24"/>
          <w:szCs w:val="24"/>
          <w:highlight w:val="white"/>
          <w:u w:val="single"/>
        </w:rPr>
      </w:pPr>
      <w:hyperlink r:id="rId25" w:history="1">
        <w:r w:rsidR="000E69A8" w:rsidRPr="009D3BE6">
          <w:rPr>
            <w:rStyle w:val="Hyperlink"/>
            <w:rFonts w:eastAsia="Open Sans" w:cs="Times New Roman"/>
            <w:color w:val="4472C4" w:themeColor="accent5"/>
            <w:sz w:val="24"/>
            <w:szCs w:val="24"/>
            <w:highlight w:val="white"/>
          </w:rPr>
          <w:t>https://narodne-novine.nn.hr/clanci/sluzbeni/2019_01_7_153.html</w:t>
        </w:r>
      </w:hyperlink>
    </w:p>
    <w:p w:rsidR="000E69A8" w:rsidRPr="009D3BE6" w:rsidRDefault="000E69A8" w:rsidP="000E69A8">
      <w:pPr>
        <w:pStyle w:val="NoSpacing"/>
        <w:jc w:val="both"/>
        <w:rPr>
          <w:rFonts w:eastAsia="Open Sans" w:cs="Times New Roman"/>
          <w:color w:val="4472C4" w:themeColor="accent5"/>
          <w:sz w:val="24"/>
          <w:szCs w:val="24"/>
          <w:highlight w:val="white"/>
        </w:rPr>
      </w:pPr>
    </w:p>
    <w:p w:rsidR="000E69A8" w:rsidRPr="004777AA" w:rsidRDefault="000E69A8" w:rsidP="000E69A8">
      <w:pPr>
        <w:pStyle w:val="NoSpacing"/>
        <w:numPr>
          <w:ilvl w:val="0"/>
          <w:numId w:val="1"/>
        </w:numPr>
        <w:jc w:val="both"/>
        <w:rPr>
          <w:rStyle w:val="Hyperlink"/>
          <w:rFonts w:eastAsia="Open Sans" w:cs="Times New Roman"/>
          <w:color w:val="000000"/>
          <w:sz w:val="24"/>
          <w:szCs w:val="24"/>
          <w:highlight w:val="white"/>
          <w:u w:val="none"/>
        </w:rPr>
      </w:pPr>
      <w:r w:rsidRPr="002835CE">
        <w:rPr>
          <w:rFonts w:cs="Times New Roman"/>
          <w:sz w:val="24"/>
          <w:szCs w:val="24"/>
        </w:rPr>
        <w:t xml:space="preserve">e-Dnevnik upute za razrednike i stručno osoblje </w:t>
      </w:r>
      <w:hyperlink r:id="rId26" w:history="1">
        <w:r w:rsidRPr="002835CE">
          <w:rPr>
            <w:rStyle w:val="Hyperlink"/>
            <w:rFonts w:eastAsia="Open Sans" w:cs="Times New Roman"/>
            <w:sz w:val="24"/>
            <w:szCs w:val="24"/>
          </w:rPr>
          <w:t>https://www.carnet.hr/wp-content/uploads/2019/01/e-Dnevnik-upute-za-razrednike.pdf</w:t>
        </w:r>
      </w:hyperlink>
    </w:p>
    <w:p w:rsidR="004777AA" w:rsidRDefault="004777AA" w:rsidP="004777AA">
      <w:pPr>
        <w:pStyle w:val="ListParagraph"/>
        <w:rPr>
          <w:rFonts w:eastAsia="Open Sans" w:cs="Times New Roman"/>
          <w:color w:val="000000"/>
          <w:sz w:val="24"/>
          <w:szCs w:val="24"/>
          <w:highlight w:val="white"/>
        </w:rPr>
      </w:pPr>
    </w:p>
    <w:p w:rsidR="004777AA" w:rsidRPr="002835CE" w:rsidRDefault="004777AA" w:rsidP="004777AA">
      <w:pPr>
        <w:pStyle w:val="NoSpacing"/>
        <w:ind w:left="720"/>
        <w:jc w:val="both"/>
        <w:rPr>
          <w:rFonts w:eastAsia="Open Sans" w:cs="Times New Roman"/>
          <w:color w:val="000000"/>
          <w:sz w:val="24"/>
          <w:szCs w:val="24"/>
          <w:highlight w:val="white"/>
        </w:rPr>
      </w:pPr>
    </w:p>
    <w:p w:rsidR="004777AA" w:rsidRPr="004777AA" w:rsidRDefault="004777AA" w:rsidP="004777AA">
      <w:pPr>
        <w:ind w:left="360"/>
        <w:rPr>
          <w:sz w:val="24"/>
          <w:szCs w:val="24"/>
        </w:rPr>
      </w:pPr>
      <w:r w:rsidRPr="004777AA">
        <w:rPr>
          <w:sz w:val="24"/>
          <w:szCs w:val="24"/>
        </w:rPr>
        <w:t xml:space="preserve">Split, 18. veljače 2021. g.                               </w:t>
      </w:r>
      <w:r>
        <w:rPr>
          <w:sz w:val="24"/>
          <w:szCs w:val="24"/>
        </w:rPr>
        <w:t xml:space="preserve">                            </w:t>
      </w:r>
      <w:bookmarkStart w:id="0" w:name="_GoBack"/>
      <w:bookmarkEnd w:id="0"/>
      <w:r w:rsidRPr="004777AA">
        <w:rPr>
          <w:sz w:val="24"/>
          <w:szCs w:val="24"/>
        </w:rPr>
        <w:t>Glazbena škola Josipa Hatzea</w:t>
      </w:r>
    </w:p>
    <w:p w:rsidR="004777AA" w:rsidRPr="004777AA" w:rsidRDefault="004777AA" w:rsidP="004777AA">
      <w:pPr>
        <w:ind w:left="360"/>
        <w:rPr>
          <w:sz w:val="24"/>
          <w:szCs w:val="24"/>
        </w:rPr>
      </w:pPr>
      <w:r w:rsidRPr="004777AA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4777AA">
        <w:rPr>
          <w:sz w:val="24"/>
          <w:szCs w:val="24"/>
        </w:rPr>
        <w:t xml:space="preserve"> Ravnateljica: Vesna Alebić, prof.</w:t>
      </w:r>
      <w:r>
        <w:t xml:space="preserve">     </w:t>
      </w:r>
    </w:p>
    <w:p w:rsidR="002C7099" w:rsidRDefault="004777AA" w:rsidP="004777AA"/>
    <w:sectPr w:rsidR="002C7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B6559"/>
    <w:multiLevelType w:val="hybridMultilevel"/>
    <w:tmpl w:val="958245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F0"/>
    <w:rsid w:val="000E69A8"/>
    <w:rsid w:val="00210066"/>
    <w:rsid w:val="00312E54"/>
    <w:rsid w:val="004777AA"/>
    <w:rsid w:val="00A32CE7"/>
    <w:rsid w:val="00D607F0"/>
    <w:rsid w:val="00F2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182DF-BB91-4B6C-A314-D8E6C723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A8"/>
    <w:pPr>
      <w:spacing w:line="254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9A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E69A8"/>
    <w:rPr>
      <w:i/>
      <w:iCs/>
    </w:rPr>
  </w:style>
  <w:style w:type="paragraph" w:styleId="NoSpacing">
    <w:name w:val="No Spacing"/>
    <w:uiPriority w:val="1"/>
    <w:qFormat/>
    <w:rsid w:val="000E69A8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0E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9" TargetMode="External"/><Relationship Id="rId13" Type="http://schemas.openxmlformats.org/officeDocument/2006/relationships/hyperlink" Target="https://www.zakon.hr/cms.htm?id=182" TargetMode="External"/><Relationship Id="rId18" Type="http://schemas.openxmlformats.org/officeDocument/2006/relationships/hyperlink" Target="https://www.zakon.hr/cms.htm?id=40815" TargetMode="External"/><Relationship Id="rId26" Type="http://schemas.openxmlformats.org/officeDocument/2006/relationships/hyperlink" Target="https://www.carnet.hr/wp-content/uploads/2019/01/e-Dnevnik-upute-za-razrednik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sjh.hr/wp-content/uploads/2017/12/Pravilnik_o_tjednim_obvezema_odgojno-obrazovnog_rada_u_umjetnickim_skolama.pdf" TargetMode="External"/><Relationship Id="rId7" Type="http://schemas.openxmlformats.org/officeDocument/2006/relationships/hyperlink" Target="https://www.zakon.hr/cms.htm?id=68" TargetMode="External"/><Relationship Id="rId12" Type="http://schemas.openxmlformats.org/officeDocument/2006/relationships/hyperlink" Target="https://www.zakon.hr/cms.htm?id=73" TargetMode="External"/><Relationship Id="rId17" Type="http://schemas.openxmlformats.org/officeDocument/2006/relationships/hyperlink" Target="https://www.zakon.hr/cms.htm?id=31279" TargetMode="External"/><Relationship Id="rId25" Type="http://schemas.openxmlformats.org/officeDocument/2006/relationships/hyperlink" Target="https://narodne-novine.nn.hr/clanci/sluzbeni/2019_01_7_15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7751" TargetMode="External"/><Relationship Id="rId20" Type="http://schemas.openxmlformats.org/officeDocument/2006/relationships/hyperlink" Target="https://www.zakon.hr/z/317/Zakon-o-odgoju-i-obrazovanju-u-osnovnoj-i-srednjoj-%C5%A1kol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67" TargetMode="External"/><Relationship Id="rId11" Type="http://schemas.openxmlformats.org/officeDocument/2006/relationships/hyperlink" Target="https://www.zakon.hr/cms.htm?id=72" TargetMode="External"/><Relationship Id="rId24" Type="http://schemas.openxmlformats.org/officeDocument/2006/relationships/hyperlink" Target="http://www.propisi.hr/print.php?id=10606" TargetMode="External"/><Relationship Id="rId5" Type="http://schemas.openxmlformats.org/officeDocument/2006/relationships/hyperlink" Target="https://www.zakon.hr/cms.htm?id=66" TargetMode="External"/><Relationship Id="rId15" Type="http://schemas.openxmlformats.org/officeDocument/2006/relationships/hyperlink" Target="https://www.zakon.hr/cms.htm?id=1671" TargetMode="External"/><Relationship Id="rId23" Type="http://schemas.openxmlformats.org/officeDocument/2006/relationships/hyperlink" Target="https://mzo.gov.hr/istaknute-teme/ser-skolski-e-rudnik-3419/34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zakon.hr/cms.htm?id=71" TargetMode="External"/><Relationship Id="rId19" Type="http://schemas.openxmlformats.org/officeDocument/2006/relationships/hyperlink" Target="https://www.zakon.hr/cms.htm?id=44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70" TargetMode="External"/><Relationship Id="rId14" Type="http://schemas.openxmlformats.org/officeDocument/2006/relationships/hyperlink" Target="https://www.zakon.hr/cms.htm?id=480" TargetMode="External"/><Relationship Id="rId22" Type="http://schemas.openxmlformats.org/officeDocument/2006/relationships/hyperlink" Target="http://www.propisi.hr/print.php?id=724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5</cp:revision>
  <dcterms:created xsi:type="dcterms:W3CDTF">2021-02-18T14:25:00Z</dcterms:created>
  <dcterms:modified xsi:type="dcterms:W3CDTF">2021-02-18T14:33:00Z</dcterms:modified>
</cp:coreProperties>
</file>