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D209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D2096" w:rsidRDefault="00B946DE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D2096" w:rsidRDefault="00B946DE">
            <w:pPr>
              <w:spacing w:after="0" w:line="240" w:lineRule="auto"/>
            </w:pPr>
            <w:r>
              <w:t>22752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D2096" w:rsidRDefault="00B946D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D2096" w:rsidRDefault="00B946DE">
            <w:pPr>
              <w:spacing w:after="0" w:line="240" w:lineRule="auto"/>
            </w:pPr>
            <w:r>
              <w:t>GLAZBENA ŠKOLA JOSIPA HATZEA, SPLIT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D2096" w:rsidRDefault="00B946D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D2096" w:rsidRDefault="00B946DE">
            <w:pPr>
              <w:spacing w:after="0" w:line="240" w:lineRule="auto"/>
            </w:pPr>
            <w:r>
              <w:t>31</w:t>
            </w:r>
          </w:p>
        </w:tc>
      </w:tr>
    </w:tbl>
    <w:p w:rsidR="00DD2096" w:rsidRDefault="00B946DE">
      <w:r>
        <w:br/>
      </w:r>
    </w:p>
    <w:p w:rsidR="00DD2096" w:rsidRDefault="00B946D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D2096" w:rsidRDefault="00B946D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D2096" w:rsidRDefault="00B946DE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D2096" w:rsidRDefault="00DD2096"/>
    <w:p w:rsidR="00DD2096" w:rsidRDefault="00B946D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D2096" w:rsidRDefault="00B946D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2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3.970.375,75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4.425.657,98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3.905.107,41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4.697.696,80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DD20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272.038,82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32.968,65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25.079,73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76,1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DD20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32.431,10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25.079,73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77,3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DD20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DD20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297.118,55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D2096" w:rsidRDefault="00DD2096">
      <w:pPr>
        <w:spacing w:after="0"/>
      </w:pPr>
    </w:p>
    <w:p w:rsidR="00DD2096" w:rsidRDefault="00B946DE">
      <w:r>
        <w:t xml:space="preserve">Glazbena škola Josipa </w:t>
      </w:r>
      <w:proofErr w:type="spellStart"/>
      <w:r>
        <w:t>Hatzea</w:t>
      </w:r>
      <w:proofErr w:type="spellEnd"/>
      <w:r>
        <w:t xml:space="preserve"> glazbena je škola u kojoj je organizirana nastava predškolskog i osnovnog glazbenog obrazovanja, te srednjeg glazbenog obrazovanja – šestogodišnjeg (pripremna i srednja škola) i četverogodišnjeg (srednja škola) programa obrazov</w:t>
      </w:r>
      <w:r>
        <w:t>anja, različitih programa glazbene umjetnosti (klavir, orgulje, violina, viola, violončelo, kontrabas, gitara, mandolina, flauta, oboa, klarinet, saksofon, fagot, truba, tuba, trombon, horna, solo pjevanje, harmonika, harfa, udaraljke, glazbena teorija). </w:t>
      </w:r>
    </w:p>
    <w:p w:rsidR="00DD2096" w:rsidRDefault="00B946DE">
      <w:r>
        <w:lastRenderedPageBreak/>
        <w:t xml:space="preserve">Nastavu osnovnog glazbenog obrazovanja Škola organizira i u Dislociranim odjelima u Kaštelima, Trogiru, </w:t>
      </w:r>
      <w:proofErr w:type="spellStart"/>
      <w:r>
        <w:t>Postirima</w:t>
      </w:r>
      <w:proofErr w:type="spellEnd"/>
      <w:r>
        <w:t xml:space="preserve">, Supetru, Bolu, Visu, Starom Gradu, </w:t>
      </w:r>
      <w:proofErr w:type="spellStart"/>
      <w:r>
        <w:t>Jelsi</w:t>
      </w:r>
      <w:proofErr w:type="spellEnd"/>
      <w:r>
        <w:t xml:space="preserve"> i Hvaru. Uz Ministarstvo znanosti i obrazovanja, o Školi skrbi njezin osnivač, Županija splitsko-dal</w:t>
      </w:r>
      <w:r>
        <w:t>matinska te gradovi i općine u kojima djeluju Dislocirani odjeli. </w:t>
      </w:r>
    </w:p>
    <w:p w:rsidR="00DD2096" w:rsidRDefault="00B946DE">
      <w:r>
        <w:t xml:space="preserve">Od školske godine 2019./2020. Glazbena škola Josipa </w:t>
      </w:r>
      <w:proofErr w:type="spellStart"/>
      <w:r>
        <w:t>Hatzea</w:t>
      </w:r>
      <w:proofErr w:type="spellEnd"/>
      <w:r>
        <w:t xml:space="preserve"> izvodi i program klasičnog baleta u osnovnoj školi. Od školske godine 2022./2023. Škola izvodi program klasičnog baleta srednjoško</w:t>
      </w:r>
      <w:r>
        <w:t>lskog obrazovanja. Škola ima i općeobrazovni srednjoškolski program, četverogodišnju Glazbenu gimnaziju.</w:t>
      </w:r>
    </w:p>
    <w:p w:rsidR="00DD2096" w:rsidRDefault="00B946DE">
      <w:r>
        <w:br/>
      </w:r>
    </w:p>
    <w:p w:rsidR="00DD2096" w:rsidRDefault="00B946DE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DD2096" w:rsidRDefault="00B946D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2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12.162,51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D2096" w:rsidRDefault="00DD2096">
      <w:pPr>
        <w:spacing w:after="0"/>
      </w:pPr>
    </w:p>
    <w:p w:rsidR="00DD2096" w:rsidRDefault="00B946DE">
      <w:r>
        <w:t>Obveza za bolovanja na teret HZZO-12.162,51 €</w:t>
      </w:r>
    </w:p>
    <w:p w:rsidR="00DD2096" w:rsidRDefault="00DD2096"/>
    <w:p w:rsidR="00DD2096" w:rsidRDefault="00B946D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2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poslovanja (šifre 961 do 963 + </w:t>
            </w:r>
            <w:r>
              <w:rPr>
                <w:sz w:val="18"/>
              </w:rPr>
              <w:t>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38.404,51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413.738,14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1077,3</w:t>
            </w:r>
          </w:p>
        </w:tc>
      </w:tr>
    </w:tbl>
    <w:p w:rsidR="00DD2096" w:rsidRDefault="00DD2096">
      <w:pPr>
        <w:spacing w:after="0"/>
      </w:pPr>
    </w:p>
    <w:p w:rsidR="00DD2096" w:rsidRDefault="00B946DE">
      <w:r>
        <w:t>Prihodi od plaća za MZOM, nenaplaćenih prihoda za školarine i prihoda od EU.</w:t>
      </w:r>
    </w:p>
    <w:p w:rsidR="00DD2096" w:rsidRDefault="00DD2096"/>
    <w:p w:rsidR="00DD2096" w:rsidRDefault="00B946D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D2096" w:rsidRDefault="00B946D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D2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09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DD20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D2096" w:rsidRDefault="00B946D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D2096" w:rsidRDefault="00DD2096">
      <w:pPr>
        <w:spacing w:after="0"/>
      </w:pPr>
    </w:p>
    <w:p w:rsidR="00DD2096" w:rsidRDefault="00B946DE">
      <w:r>
        <w:t>Obveze koje su dospjele se odnose na račune za komunalno, vodu, telefoniju i internet. Neki računi, za održavanje, informatičke usluge, preplate su došli s kasnim datumom te nisu stigli na plaćanje kroz sustav riznice.</w:t>
      </w:r>
    </w:p>
    <w:p w:rsidR="00DD2096" w:rsidRDefault="00DD2096"/>
    <w:p w:rsidR="00DD2096" w:rsidRDefault="00B946DE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p w:rsidR="00DD2096" w:rsidRDefault="00B946DE">
      <w:pPr>
        <w:spacing w:line="240" w:lineRule="auto"/>
        <w:jc w:val="both"/>
      </w:pPr>
      <w:r>
        <w:rPr>
          <w:b/>
        </w:rPr>
        <w:t>EU izvještaj</w:t>
      </w:r>
    </w:p>
    <w:p w:rsidR="00DD2096" w:rsidRDefault="00B946DE">
      <w:r>
        <w:t>EU izvješta</w:t>
      </w:r>
      <w:r>
        <w:t xml:space="preserve">j- prema Ugovor o dodjeli bespovratnih sredstava za program </w:t>
      </w:r>
      <w:proofErr w:type="spellStart"/>
      <w:r>
        <w:t>Erasmus</w:t>
      </w:r>
      <w:proofErr w:type="spellEnd"/>
      <w:r>
        <w:t xml:space="preserve"> +</w:t>
      </w:r>
    </w:p>
    <w:p w:rsidR="00DD2096" w:rsidRDefault="00DD2096"/>
    <w:sectPr w:rsidR="00DD2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96"/>
    <w:rsid w:val="00B946DE"/>
    <w:rsid w:val="00D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28582-92F8-4547-9107-8AC68670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Microsoftov račun</cp:lastModifiedBy>
  <cp:revision>2</cp:revision>
  <cp:lastPrinted>2026-01-30T09:23:00Z</cp:lastPrinted>
  <dcterms:created xsi:type="dcterms:W3CDTF">2026-01-30T11:03:00Z</dcterms:created>
  <dcterms:modified xsi:type="dcterms:W3CDTF">2026-01-30T11:03:00Z</dcterms:modified>
</cp:coreProperties>
</file>